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B1934">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2D7AE43F">
      <w:pPr>
        <w:spacing w:line="540" w:lineRule="exact"/>
        <w:jc w:val="center"/>
        <w:rPr>
          <w:rFonts w:ascii="方正小标宋_GBK" w:hAnsi="华文中宋" w:eastAsia="方正小标宋_GBK" w:cs="宋体"/>
          <w:b/>
          <w:kern w:val="0"/>
          <w:sz w:val="48"/>
          <w:szCs w:val="48"/>
        </w:rPr>
      </w:pPr>
    </w:p>
    <w:p w14:paraId="522B717E">
      <w:pPr>
        <w:spacing w:line="540" w:lineRule="exact"/>
        <w:jc w:val="center"/>
        <w:rPr>
          <w:rFonts w:ascii="方正小标宋_GBK" w:hAnsi="华文中宋" w:eastAsia="方正小标宋_GBK" w:cs="宋体"/>
          <w:b/>
          <w:kern w:val="0"/>
          <w:sz w:val="48"/>
          <w:szCs w:val="48"/>
        </w:rPr>
      </w:pPr>
    </w:p>
    <w:p w14:paraId="14BBD65E">
      <w:pPr>
        <w:spacing w:line="540" w:lineRule="exact"/>
        <w:jc w:val="center"/>
        <w:rPr>
          <w:rFonts w:ascii="方正小标宋_GBK" w:hAnsi="华文中宋" w:eastAsia="方正小标宋_GBK" w:cs="宋体"/>
          <w:b/>
          <w:kern w:val="0"/>
          <w:sz w:val="48"/>
          <w:szCs w:val="48"/>
        </w:rPr>
      </w:pPr>
    </w:p>
    <w:p w14:paraId="01043703">
      <w:pPr>
        <w:spacing w:line="540" w:lineRule="exact"/>
        <w:jc w:val="center"/>
        <w:rPr>
          <w:rFonts w:ascii="方正小标宋_GBK" w:hAnsi="华文中宋" w:eastAsia="方正小标宋_GBK" w:cs="宋体"/>
          <w:b/>
          <w:kern w:val="0"/>
          <w:sz w:val="48"/>
          <w:szCs w:val="48"/>
        </w:rPr>
      </w:pPr>
    </w:p>
    <w:p w14:paraId="4BBED229">
      <w:pPr>
        <w:spacing w:line="540" w:lineRule="exact"/>
        <w:jc w:val="center"/>
        <w:rPr>
          <w:rFonts w:ascii="方正小标宋_GBK" w:hAnsi="华文中宋" w:eastAsia="方正小标宋_GBK" w:cs="宋体"/>
          <w:b/>
          <w:kern w:val="0"/>
          <w:sz w:val="48"/>
          <w:szCs w:val="48"/>
        </w:rPr>
      </w:pPr>
    </w:p>
    <w:p w14:paraId="5B210195">
      <w:pPr>
        <w:spacing w:line="540" w:lineRule="exact"/>
        <w:jc w:val="center"/>
        <w:rPr>
          <w:rFonts w:ascii="方正小标宋_GBK" w:hAnsi="华文中宋" w:eastAsia="方正小标宋_GBK" w:cs="宋体"/>
          <w:b/>
          <w:kern w:val="0"/>
          <w:sz w:val="48"/>
          <w:szCs w:val="48"/>
        </w:rPr>
      </w:pPr>
    </w:p>
    <w:p w14:paraId="3BA2A42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165041E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19787D44">
      <w:pPr>
        <w:spacing w:line="540" w:lineRule="exact"/>
        <w:jc w:val="center"/>
        <w:rPr>
          <w:rFonts w:ascii="华文中宋" w:hAnsi="华文中宋" w:eastAsia="华文中宋" w:cs="宋体"/>
          <w:b/>
          <w:kern w:val="0"/>
          <w:sz w:val="52"/>
          <w:szCs w:val="52"/>
        </w:rPr>
      </w:pPr>
    </w:p>
    <w:p w14:paraId="16AD6C1B">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0C1580B9">
      <w:pPr>
        <w:spacing w:line="700" w:lineRule="exact"/>
        <w:jc w:val="left"/>
        <w:rPr>
          <w:rFonts w:hint="eastAsia" w:hAnsi="宋体" w:eastAsia="仿宋_GB2312" w:cs="宋体"/>
          <w:kern w:val="0"/>
          <w:sz w:val="36"/>
          <w:szCs w:val="36"/>
        </w:rPr>
      </w:pPr>
    </w:p>
    <w:p w14:paraId="3784AC0C">
      <w:pPr>
        <w:spacing w:line="700" w:lineRule="exact"/>
        <w:jc w:val="left"/>
        <w:rPr>
          <w:rFonts w:hint="eastAsia" w:hAnsi="宋体" w:eastAsia="仿宋_GB2312" w:cs="宋体"/>
          <w:kern w:val="0"/>
          <w:sz w:val="36"/>
          <w:szCs w:val="36"/>
        </w:rPr>
      </w:pPr>
    </w:p>
    <w:p w14:paraId="0EB39DC1">
      <w:pPr>
        <w:spacing w:line="700" w:lineRule="exact"/>
        <w:jc w:val="left"/>
        <w:rPr>
          <w:rFonts w:hint="eastAsia" w:hAnsi="宋体" w:eastAsia="仿宋_GB2312" w:cs="宋体"/>
          <w:kern w:val="0"/>
          <w:sz w:val="36"/>
          <w:szCs w:val="36"/>
          <w:lang w:eastAsia="zh-CN"/>
        </w:rPr>
      </w:pPr>
    </w:p>
    <w:p w14:paraId="6084959F">
      <w:pPr>
        <w:spacing w:line="700" w:lineRule="exact"/>
        <w:jc w:val="left"/>
        <w:rPr>
          <w:rFonts w:hint="eastAsia" w:hAnsi="宋体" w:eastAsia="仿宋_GB2312" w:cs="宋体"/>
          <w:kern w:val="0"/>
          <w:sz w:val="36"/>
          <w:szCs w:val="36"/>
          <w:lang w:eastAsia="zh-CN"/>
        </w:rPr>
      </w:pPr>
    </w:p>
    <w:p w14:paraId="7BE9A944">
      <w:pPr>
        <w:spacing w:line="700" w:lineRule="exact"/>
        <w:jc w:val="left"/>
        <w:rPr>
          <w:rFonts w:hint="eastAsia" w:hAnsi="宋体" w:eastAsia="仿宋_GB2312" w:cs="宋体"/>
          <w:kern w:val="0"/>
          <w:sz w:val="36"/>
          <w:szCs w:val="36"/>
          <w:lang w:eastAsia="zh-CN"/>
        </w:rPr>
      </w:pPr>
    </w:p>
    <w:p w14:paraId="5301C287">
      <w:pPr>
        <w:spacing w:line="700" w:lineRule="exact"/>
        <w:jc w:val="left"/>
        <w:rPr>
          <w:rFonts w:hint="eastAsia" w:hAnsi="宋体" w:eastAsia="仿宋_GB2312" w:cs="宋体"/>
          <w:kern w:val="0"/>
          <w:sz w:val="36"/>
          <w:szCs w:val="36"/>
          <w:lang w:eastAsia="zh-CN"/>
        </w:rPr>
      </w:pPr>
    </w:p>
    <w:p w14:paraId="0083D912">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克州生态环境局</w:t>
      </w:r>
    </w:p>
    <w:p w14:paraId="4E1C707A">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7269F878">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61B5114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6662BAA8">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孜勒苏柯尔克孜自治州生态环境局贯彻落实中央关于生态环境保护工作的方针政策和决策部署以及自治区、自治州党委工作要求，在履行职责过程中坚持和加强党对生态环境保护工作的集中统一领导；负责建立健全生态环境制度；负责重大生态环境问题的统筹协调和监督管理；负责监督管理自治州减排目标的落实；负责环境污染防治的监督管理；负责核与辐射安全的监督管理；负责生态环境准入的监督管理；负责生态环境监测工作；负责应对气候变化工作；负责生态环境监察工作；统一负责生态环境监督执法等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克州生态环境局，内设3个科室，分别是：局办公室、监督管理科、污染防治科。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克州生态环境局编制36名，其中：行政编制9名，机关工勤事业编制1名，机关事业编制16名，参照公务员管理编制10名。实有人员44人，其中：在职31人，退休13人。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全州生态环境系统在自治州党委、政府的坚强领导下，在自治区生态环境厅的指导下，在相关部门单位的大力支持下，坚持以习近平新时代中国特色社会主义思想为指导，深入贯彻落实党的十九大和十九届历次全会精神，深入贯彻落实习近平生态文明思想，深入贯彻落实第三次中央新疆工作座谈会精神和全国生态环境系统“十四五”对口援疆工作会议精神，完整准确贯彻新时代党的治疆方略，统筹疫情防控和经济社会发展，统筹发展和安全，紧紧围绕“一体两翼三个支撑”工作思路，突出精准治污、科学治污、依法治污，深入打好污染防治攻坚战，全州生态环境保护工作成效显著，实现“十四五”良好开局。</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(1)自治州重点工作任务全面落地落实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我们牢牢扭住社会稳定和长治久安总目标，扎实做好民族团结、宗教管理、意识形态等工作，扎实开展“访惠聚”驻村、“民族团结一家亲”、</w:t>
      </w:r>
      <w:r>
        <w:rPr>
          <w:rFonts w:hint="eastAsia" w:ascii="仿宋_GB2312" w:hAnsi="宋体" w:eastAsia="仿宋_GB2312"/>
          <w:b w:val="0"/>
          <w:bCs/>
          <w:sz w:val="32"/>
          <w:szCs w:val="32"/>
          <w:lang w:eastAsia="zh-CN"/>
        </w:rPr>
        <w:t>巩固拓展脱贫攻坚成果同乡村振兴有效衔接</w:t>
      </w:r>
      <w:r>
        <w:rPr>
          <w:rFonts w:hint="eastAsia" w:ascii="仿宋_GB2312" w:hAnsi="宋体" w:eastAsia="仿宋_GB2312"/>
          <w:b w:val="0"/>
          <w:bCs/>
          <w:sz w:val="32"/>
          <w:szCs w:val="32"/>
        </w:rPr>
        <w:t>等任务。精准有效做好常态化疫情防控相关环保工作，安全收集处置医疗废物1590.84吨。强化危险废物规范化环境管理，全州危险废物总处置能力达2489.86吨/年。坚持安全生产底线思维，建立完善安全生产指挥调度机制，组织开展环境风险隐患排查治理专项行动，有效应对和解决各类生态环境污染事件。编制完成《克州生态环境保护“十四五”规划》初稿。</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（2）绿色发展成效不断显现</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们准确把握进入新发展阶段、贯彻新发展理念、构建新发展格局、推动高质量发展的要求，积极服务“六稳”“六保”，深化“放管服”改革，推进环评审批和监督执法“两个正面清单”制度化，审批建设项目78个，6个建设项目环评实施告知承诺制审批，25家企业纳入执法清单管理，加强重大项目环评审批服务保障，严控“两高”项目盲目发展。组织克州水泥行业共2家重点企业完成2020年度碳排放报告和2021年排放监测计划的报送工作。推动印发了《克孜勒苏柯尔克孜自治州“三线一单”生态环境分区管控方案》，制定下发了《自治州党委办公室、自治州人民政府办公室关于印发&lt;克孜勒苏柯尔克孜自治州有关部门生态环境保护责任清单的通知&gt;》，进一步明确了全州各相关部门单位生态环境保护工作责任，形成了全社会统筹推进主态环境保护工作的合力。</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（3）生态环境质量持续改善</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们坚持以改善生态环境质量为核心，顺利完成生态环境部下达的9项约束性指标，PM2.5平均浓度24微克/立方米（扣除沙尘天气）。阿图什市2021年空气质量优良天数达250天，优良天数比例达到68.7%，蓝天保卫战成效初显。全州5条地表河流（布谷孜河、恰克马克河、克孜河、托什干河、盖孜河）10个监测断面总体水质状况优，均为Ⅱ类水质，河流总体水质状况稳定。土壤环境质量状况总体保持稳定。扎实作好群众信访投诉工作，通过“全国12369环保举报联网管理平台”办结各类生态环境信访投诉案件共36件，办结率达100%，有效推动了以生态环境保护实际成效取信于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（4）生态环境治理能力明显提升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们持续深化系统治理，加大生态环境保护投入力度，2021年中央拨付各类专项资金25733.4万元，自治州本级财政安排生态环境保护职能部门运转经费及项目经费1102万元，有力支撑了生态环境治理能力建设。积极推进中央生态环境保护督察反馈意见整改及“回头看”，不断巩固了整改成效，切实做到了问题整改不反弹、环境质量有改善。坚持依法治污，完成生态环境执法一体化平台建设，生态环境保护综合行政执法能力和水平得到加强和提高，依据执法正面清单开展现场监管执法64次，非现场检查91次，帮扶企业81次。核与辐射环境安全可控，实行最严格的安全标准和最严格的监管理，对全州61家放射源单位和射线装置单位核与辐射工作情况进行了全覆盖排查，督促相关涉核与辐射营运单位落实全面核安全责任。生态环境保护宣传教育力度不断加大，“绿水青山就是金山银山”的理念不断深入人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生态环境局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（2）收支管理：领导层是本单位收支业务管理的决策部门，负责审批单位收支业务等事项。涉及“三重一大”事项，根据《克州生态环境局集体决策制度》和《克州生态环境局项目管理办法》办理。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生态环境局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生态环境局合同管理办法》相关规定，克州生态环境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568.51万元，项目支出安排资金165.74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本单位2021年度项目支出165.74万元，涉及项目数量6个，其中：重点项目支出71万元，涉及重点项目数量1个，重点项目支出与部门项目总支出的比率为42.84%。</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2021年度本单位年初批复部门预算资金总额为602.21万元，年中调增预算总额为132.04万元，调整后全年预算资金总额为734.25万元。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2021年度本单位部门整体支出资金总额为734.25万元，预算执行率为100%，预算调整率为</w:t>
      </w:r>
      <w:r>
        <w:rPr>
          <w:rFonts w:hint="eastAsia" w:ascii="仿宋_GB2312" w:hAnsi="宋体" w:eastAsia="仿宋_GB2312"/>
          <w:b w:val="0"/>
          <w:bCs/>
          <w:sz w:val="32"/>
          <w:szCs w:val="32"/>
          <w:lang w:val="en-US" w:eastAsia="zh-CN"/>
        </w:rPr>
        <w:t>21.93</w:t>
      </w:r>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年初政府采购预算数为31.70万元，实际政府采购数为31.70万元，政府采购执行率为100%。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2B0DB606">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7362B9E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为加强我单位预算管理、规范财务行为我单位制定了《克州生态环境局内部控制规范》《克州生态环境局项目管理规范》等资金管理制度，已建立制度均健全且有效运行。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2021年度我单位基本支出预算总额为568.51万元，其中人员经费546.71万元，公用经费21.80万元。实际执行总额为568.51万元，预算执行率100%。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13.72万元，比上年增加2.29万元，增加20.06%，主要原因是：因开展环境督察工作，增加了相应的费用。其中，因公出国（境）费支出0万元；公务用车购置及运行维护费支出13.22万元；公务接待费支出0.50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与年初预算数相比情况：一般公共预算“三公”经费支出年初预算数29万元，预算执行数为13.72万元，执行率为47.31%，主要原因是：按照厉行节约的要求，2021年缩减公务车运行维护费，因此支出随之减少。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2021年度本单位项目支出预算总额为165.74万元，实际执行资金总额为165.74万元，预算执行率为100%。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2021年度预算安排专项资金17万元，实际支出资金17万元，预算执行率为100%，涉及项目个数1个。专项经费按照政策要求实行专款专用，不存在截留、挤占、挪用、虚列支出。各项目详细执行情况如下：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第一书记办和为民办实事经费项目:全年预算数为17万元，预算执行数为17万元，预算执行率为100%。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2021年度预算安排本级财力资金148.74万元，实际支出资金148.74万元，预算执行率为100%，涉及项目个数5个，各项目详细执行情况如下：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业务经费项目:全年预算数为71万元，预算执行数为71万元，预算执行率为100%。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群众工作经费项目:全年预算数为7万元，预算执行数为7万元，预算执行率为100%。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空气自动监测站建设项目:全年预算数15.74万元，预算执行数为15.74万元，预算执行率为100%。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2020年环保工作经费项目:全年预算数为3万元，预算执行数为3万元，预算执行率为100%。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2020年三线一单采购项目经费项目:全年预算数为52万元，预算执行数为52万元，预算执行率为100%。</w:t>
      </w:r>
    </w:p>
    <w:p w14:paraId="63C85BE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15B810B8">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和为民办实事经费项目的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项专项，总投入共计17万元，资金全部到位，实际使用资金17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①制订《克州生态环境局经费使用规范》,为合理合规使用经费提供了有力的制度保障。同时,建立区委组织部项目经费内部管控制度，并严格按要求落实。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办和为民办实事经费项目：主要用于阿克陶县巴仁乡且克村工作队和第一书记开展群众工作经费保障，有利于深入基层，积极为民办实事好事，顺利开展阿克陶县巴仁乡且克村基层组织工作，帮助解决农牧民生产生活等困难问题，宣传党的各项惠民政策，维护社会稳定和长治久安，进一步增强农牧民的幸福感和获得感。</w:t>
      </w:r>
    </w:p>
    <w:p w14:paraId="4BA3F006">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646F561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本单位2021年初资产合计数为256.02万元，年末资产合计数为248.39万元。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截止本年度固定资产账面净值146.83万元，年末实际在用固定资产146.83万元，固定资产利用率为100%。</w:t>
      </w:r>
    </w:p>
    <w:p w14:paraId="5BF88B2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4E8F16EF">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部门单位整体支出共设置一级指标3个，二级指标7个，三级指标21个，其中已完成三级指标20个，指标完成率为95.24%。</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“保障人员人数”指标：预期指标值为=44人，实际完成指标值为44人，指标完成率为100%。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“保障车辆数”指标：预期指标值为=3辆，实际完成指标值为3辆，指标完成率为100%。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“开展群众活动”指标：预期指标值为=10次，实际完成指标值为10次，指标完成率为100%。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“开展慰问次数”指标：预期指标值为=10次，实际完成指标值为10次，指标完成率为100%。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“为民办实事经费”指标：预期指标值为&gt;=12次，实际完成指标值为12次，指标完成率为100%。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“开展行政执法（人次）”指标：预期指标值为&gt;=200人次，实际完成指标值为200人次，指标完成率为100%。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“开展环评项目审批数量”指标：预期指标值为&gt;=50个，实际完成指标值为50个，指标完成率为100%。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“案件结案率”指标：预期指标值为&gt;=95%，实际完成指标值为95%，指标完成率为100%。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“污染物排放达标率”指标：预期指标值为=100%，实际完成指标值为100%，指标完成率为100%。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“行政审批办结率”指标：预期指标值为=100%，实际完成指标值为100%，指标完成率为100%。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“人员经费”指标：预期指标值为=474.96万元，实际完成指标值为474.96万元，指标完成率为100%。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“公用经费”指标：预期指标值为=32.25万元，实际完成指标值为21.80万元，指标完成率为67.60%。偏差原因：2021年工会费及福利费未形成支出。改进措施：积极与办公室协调，加强工会费和福利费的使用效力。</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“项目经费”指标：预期指标值为=95万元，实际完成指标值为95万元，指标完成率为100%。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“加强基层组织建设”指标：预期指标值为有效加强，实际完成指标值为有效加强，指标完成率为100%。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“提高农牧民生产生活质量”指标：预期指标值为有效提高，实际完成指标值为有效提高，指标完成率为100%。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“改善生态环境”指标：预期指标值为有效改善，实际完成指标值为有效改善，指标完成率为100%。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“维护社会稳定和长治久安”指标：预期指标值为长期，实际完成指标值为长期，指标完成率为100%。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“受益工作人员满意度”指标：预期指标值为&gt;=95%，实际完成指标值为95%，指标完成率为100%。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“受益农牧民的满意度”指标：预期指标值为&gt;=95%，实际完成指标值为95%，指标完成率为100%。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“服务对象对环保工作的满意度”指标：预期指标值为&gt;=95%，实际完成指标值为95%，指标完成率为100%。</w:t>
      </w:r>
    </w:p>
    <w:p w14:paraId="4C9E8E2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47781F9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286A0AE3">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750C68B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AB30B4B"/>
    <w:rsid w:val="0D1922F1"/>
    <w:rsid w:val="0F8B6004"/>
    <w:rsid w:val="108622B3"/>
    <w:rsid w:val="1438599A"/>
    <w:rsid w:val="200F4073"/>
    <w:rsid w:val="24B86128"/>
    <w:rsid w:val="51C70EA9"/>
    <w:rsid w:val="54F842B6"/>
    <w:rsid w:val="656071F2"/>
    <w:rsid w:val="6BF1756B"/>
    <w:rsid w:val="6F5E1AA3"/>
    <w:rsid w:val="78E659B1"/>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10784</Words>
  <Characters>11356</Characters>
  <Lines>2</Lines>
  <Paragraphs>1</Paragraphs>
  <TotalTime>30</TotalTime>
  <ScaleCrop>false</ScaleCrop>
  <LinksUpToDate>false</LinksUpToDate>
  <CharactersWithSpaces>11674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2025-07-31T03:15:06Z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